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6994" w14:textId="1DC6173B" w:rsidR="00B31F16" w:rsidRPr="00683511" w:rsidRDefault="006E0B00" w:rsidP="005550EF">
      <w:pPr>
        <w:jc w:val="center"/>
        <w:rPr>
          <w:b/>
          <w:bCs/>
          <w:sz w:val="28"/>
          <w:szCs w:val="28"/>
        </w:rPr>
      </w:pPr>
      <w:r w:rsidRPr="00683511">
        <w:rPr>
          <w:b/>
          <w:bCs/>
          <w:sz w:val="28"/>
          <w:szCs w:val="28"/>
        </w:rPr>
        <w:t>DNA sequencing request form</w:t>
      </w:r>
    </w:p>
    <w:p w14:paraId="5375F438" w14:textId="6F26F49D" w:rsidR="005550EF" w:rsidRDefault="005550EF" w:rsidP="005550EF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0265" w14:paraId="7DECDB00" w14:textId="77777777" w:rsidTr="00270265">
        <w:tc>
          <w:tcPr>
            <w:tcW w:w="4675" w:type="dxa"/>
          </w:tcPr>
          <w:p w14:paraId="47A09569" w14:textId="4E15639C" w:rsidR="00270265" w:rsidRDefault="00270265" w:rsidP="00270265">
            <w:r>
              <w:t>Date</w:t>
            </w:r>
            <w:r w:rsidR="00C7186D">
              <w:t>:</w:t>
            </w:r>
            <w:sdt>
              <w:sdtPr>
                <w:id w:val="84040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3511" w:rsidRPr="0070189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7690B2BE" w14:textId="77777777" w:rsidR="00270265" w:rsidRDefault="00270265" w:rsidP="00270265"/>
          <w:p w14:paraId="28261C8F" w14:textId="3F00E7DF" w:rsidR="00270265" w:rsidRDefault="00270265" w:rsidP="00270265">
            <w:r>
              <w:t>Contact person</w:t>
            </w:r>
            <w:r w:rsidR="00C7186D">
              <w:t>:</w:t>
            </w:r>
            <w:r>
              <w:t xml:space="preserve"> </w:t>
            </w:r>
            <w:sdt>
              <w:sdtPr>
                <w:id w:val="-19703517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186D" w:rsidRPr="0070189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59226567" w14:textId="77777777" w:rsidR="00270265" w:rsidRDefault="00270265" w:rsidP="00270265"/>
          <w:p w14:paraId="1798F6E3" w14:textId="4B6483D8" w:rsidR="00270265" w:rsidRDefault="00270265" w:rsidP="00270265">
            <w:r>
              <w:t>Contact email</w:t>
            </w:r>
            <w:r w:rsidR="00C7186D">
              <w:t>:</w:t>
            </w:r>
            <w:r>
              <w:t xml:space="preserve"> </w:t>
            </w:r>
            <w:sdt>
              <w:sdtPr>
                <w:id w:val="3836800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186D" w:rsidRPr="0070189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7B40EC95" w14:textId="77777777" w:rsidR="00270265" w:rsidRDefault="00270265" w:rsidP="005550EF">
            <w:pPr>
              <w:jc w:val="center"/>
              <w:rPr>
                <w:b/>
                <w:bCs/>
              </w:rPr>
            </w:pPr>
          </w:p>
        </w:tc>
        <w:tc>
          <w:tcPr>
            <w:tcW w:w="4675" w:type="dxa"/>
          </w:tcPr>
          <w:p w14:paraId="5FE3510D" w14:textId="7311156C" w:rsidR="00270265" w:rsidRDefault="00270265" w:rsidP="00270265">
            <w:r>
              <w:t xml:space="preserve">Contact phone </w:t>
            </w:r>
            <w:r w:rsidR="00683511">
              <w:t xml:space="preserve">#: </w:t>
            </w:r>
            <w:sdt>
              <w:sdtPr>
                <w:id w:val="10880488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3511" w:rsidRPr="0070189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2EA93930" w14:textId="77777777" w:rsidR="00270265" w:rsidRDefault="00270265" w:rsidP="00270265"/>
          <w:p w14:paraId="2D03BBA2" w14:textId="013116D2" w:rsidR="00270265" w:rsidRDefault="00270265" w:rsidP="00270265">
            <w:r>
              <w:t xml:space="preserve">Primary </w:t>
            </w:r>
            <w:r w:rsidR="00C7186D">
              <w:t xml:space="preserve">DLMP </w:t>
            </w:r>
            <w:r>
              <w:t>Investigator</w:t>
            </w:r>
            <w:r w:rsidR="00C7186D">
              <w:t>:</w:t>
            </w:r>
            <w:r>
              <w:t xml:space="preserve"> </w:t>
            </w:r>
            <w:sdt>
              <w:sdtPr>
                <w:id w:val="19921351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186D" w:rsidRPr="0070189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11D9B299" w14:textId="77777777" w:rsidR="00270265" w:rsidRDefault="00270265" w:rsidP="00270265"/>
          <w:p w14:paraId="19BE06E9" w14:textId="098AA57A" w:rsidR="00270265" w:rsidRDefault="00270265" w:rsidP="00270265">
            <w:r>
              <w:t xml:space="preserve">Primary </w:t>
            </w:r>
            <w:r w:rsidR="00C7186D">
              <w:t xml:space="preserve">DLMP </w:t>
            </w:r>
            <w:r>
              <w:t>Investigator email</w:t>
            </w:r>
            <w:r w:rsidR="00C7186D">
              <w:t>:</w:t>
            </w:r>
          </w:p>
          <w:p w14:paraId="5A532B86" w14:textId="1E36BA22" w:rsidR="00270265" w:rsidRDefault="00364595" w:rsidP="00270265">
            <w:sdt>
              <w:sdtPr>
                <w:id w:val="20258220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186D" w:rsidRPr="0070189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04C1126F" w14:textId="77777777" w:rsidR="00270265" w:rsidRDefault="00270265" w:rsidP="005550EF">
            <w:pPr>
              <w:jc w:val="center"/>
              <w:rPr>
                <w:b/>
                <w:bCs/>
              </w:rPr>
            </w:pPr>
          </w:p>
        </w:tc>
      </w:tr>
    </w:tbl>
    <w:p w14:paraId="448316EF" w14:textId="77777777" w:rsidR="005550EF" w:rsidRPr="005550EF" w:rsidRDefault="005550EF" w:rsidP="005550EF">
      <w:pPr>
        <w:jc w:val="center"/>
        <w:rPr>
          <w:b/>
          <w:bCs/>
        </w:rPr>
      </w:pPr>
    </w:p>
    <w:p w14:paraId="243F8031" w14:textId="24D19742" w:rsidR="006E0B00" w:rsidRDefault="006E0B00">
      <w:r>
        <w:t>To facilitate efficient DNA sequencing of your NGS libraries, we will need the following information:</w:t>
      </w:r>
    </w:p>
    <w:p w14:paraId="17A48DA7" w14:textId="1EDB0EDF" w:rsidR="006E0B00" w:rsidRDefault="006E0B00"/>
    <w:p w14:paraId="54D63443" w14:textId="5E4899DD" w:rsidR="006E0B00" w:rsidRPr="00994DEE" w:rsidRDefault="006E0B00">
      <w:pPr>
        <w:rPr>
          <w:b/>
          <w:bCs/>
        </w:rPr>
      </w:pPr>
      <w:r w:rsidRPr="00994DEE">
        <w:rPr>
          <w:b/>
          <w:bCs/>
        </w:rPr>
        <w:t xml:space="preserve">Platform </w:t>
      </w:r>
    </w:p>
    <w:p w14:paraId="2D282F95" w14:textId="543D53D6" w:rsidR="006E0B00" w:rsidRDefault="006E0B00">
      <w:r>
        <w:tab/>
      </w:r>
      <w:sdt>
        <w:sdtPr>
          <w:id w:val="-160472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>
            <w:rPr>
              <w:rFonts w:ascii="MS Gothic" w:eastAsia="MS Gothic" w:hAnsi="MS Gothic" w:hint="eastAsia"/>
            </w:rPr>
            <w:t>☐</w:t>
          </w:r>
        </w:sdtContent>
      </w:sdt>
      <w:r w:rsidR="00C14684" w:rsidRPr="00C14684">
        <w:t xml:space="preserve"> </w:t>
      </w:r>
      <w:proofErr w:type="spellStart"/>
      <w:r>
        <w:t>NovaSeq</w:t>
      </w:r>
      <w:proofErr w:type="spellEnd"/>
    </w:p>
    <w:p w14:paraId="4F4E9E76" w14:textId="07C4AF01" w:rsidR="006E0B00" w:rsidRDefault="006E0B00"/>
    <w:p w14:paraId="1F7A7D53" w14:textId="77777777" w:rsidR="008E7022" w:rsidRDefault="008E7022"/>
    <w:p w14:paraId="48E66F7A" w14:textId="77777777" w:rsidR="00994DEE" w:rsidRPr="00994DEE" w:rsidRDefault="006E0B00">
      <w:pPr>
        <w:rPr>
          <w:b/>
          <w:bCs/>
        </w:rPr>
      </w:pPr>
      <w:r w:rsidRPr="00994DEE">
        <w:rPr>
          <w:b/>
          <w:bCs/>
        </w:rPr>
        <w:t xml:space="preserve">Sequencing recipe </w:t>
      </w:r>
    </w:p>
    <w:p w14:paraId="037CB03E" w14:textId="3961E6D2" w:rsidR="006E0B00" w:rsidRDefault="00C14684">
      <w:r>
        <w:t>S</w:t>
      </w:r>
      <w:r w:rsidR="006E0B00">
        <w:t xml:space="preserve">pecify single end or paired end, </w:t>
      </w:r>
      <w:r w:rsidR="00994DEE">
        <w:t xml:space="preserve">desired </w:t>
      </w:r>
      <w:r w:rsidR="006E0B00">
        <w:t xml:space="preserve">read lengths, </w:t>
      </w:r>
      <w:r w:rsidR="00994DEE">
        <w:t xml:space="preserve">and </w:t>
      </w:r>
      <w:r w:rsidR="006E0B00">
        <w:t xml:space="preserve">index reads.  For example: </w:t>
      </w:r>
      <w:proofErr w:type="gramStart"/>
      <w:r w:rsidR="006E0B00">
        <w:t>Paired-end</w:t>
      </w:r>
      <w:proofErr w:type="gramEnd"/>
      <w:r w:rsidR="006E0B00">
        <w:t xml:space="preserve"> 2x151 </w:t>
      </w:r>
      <w:r w:rsidR="00A03633">
        <w:t xml:space="preserve">unique </w:t>
      </w:r>
      <w:r w:rsidR="006E0B00">
        <w:t>dual index</w:t>
      </w:r>
      <w:r w:rsidR="00994DEE">
        <w:t>.</w:t>
      </w:r>
      <w:r w:rsidR="00C7186D">
        <w:t xml:space="preserve"> </w:t>
      </w:r>
    </w:p>
    <w:sdt>
      <w:sdtPr>
        <w:id w:val="-604105213"/>
        <w:placeholder>
          <w:docPart w:val="DefaultPlaceholder_-1854013440"/>
        </w:placeholder>
        <w:showingPlcHdr/>
      </w:sdtPr>
      <w:sdtEndPr/>
      <w:sdtContent>
        <w:p w14:paraId="569E35CD" w14:textId="28E50D4D" w:rsidR="005550EF" w:rsidRDefault="00683511">
          <w:r w:rsidRPr="0070189F">
            <w:rPr>
              <w:rStyle w:val="PlaceholderText"/>
              <w:u w:val="single"/>
            </w:rPr>
            <w:t>Click or tap here to enter text.</w:t>
          </w:r>
        </w:p>
      </w:sdtContent>
    </w:sdt>
    <w:p w14:paraId="7C7929DD" w14:textId="775C4459" w:rsidR="00C7186D" w:rsidRDefault="002B6B70">
      <w:pPr>
        <w:pBdr>
          <w:bottom w:val="single" w:sz="12" w:space="1" w:color="auto"/>
        </w:pBdr>
      </w:pPr>
      <w:r>
        <w:t xml:space="preserve"> </w:t>
      </w:r>
    </w:p>
    <w:p w14:paraId="19951A55" w14:textId="5D28607A" w:rsidR="00C7186D" w:rsidRDefault="00C7186D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Data analysis pipeline</w:t>
      </w:r>
    </w:p>
    <w:p w14:paraId="710A0561" w14:textId="3443E568" w:rsidR="00C7186D" w:rsidRPr="00C7186D" w:rsidRDefault="00364595">
      <w:pPr>
        <w:pBdr>
          <w:bottom w:val="single" w:sz="12" w:space="1" w:color="auto"/>
        </w:pBdr>
      </w:pPr>
      <w:sdt>
        <w:sdtPr>
          <w:id w:val="102952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86D" w:rsidRPr="002B6B70">
            <w:rPr>
              <w:rFonts w:ascii="MS Gothic" w:eastAsia="MS Gothic" w:hAnsi="MS Gothic" w:hint="eastAsia"/>
            </w:rPr>
            <w:t>☐</w:t>
          </w:r>
        </w:sdtContent>
      </w:sdt>
      <w:r w:rsidR="00C7186D" w:rsidRPr="002B6B70">
        <w:t xml:space="preserve"> None</w:t>
      </w:r>
      <w:r w:rsidR="00C7186D" w:rsidRPr="00C7186D">
        <w:t xml:space="preserve"> (Only raw </w:t>
      </w:r>
      <w:proofErr w:type="spellStart"/>
      <w:r w:rsidR="00C7186D" w:rsidRPr="00C7186D">
        <w:t>fastq</w:t>
      </w:r>
      <w:proofErr w:type="spellEnd"/>
      <w:r w:rsidR="00C7186D" w:rsidRPr="00C7186D">
        <w:t xml:space="preserve"> files will be returned)</w:t>
      </w:r>
    </w:p>
    <w:p w14:paraId="65C26D35" w14:textId="59ECDFC0" w:rsidR="00C7186D" w:rsidRPr="00C7186D" w:rsidRDefault="00364595">
      <w:pPr>
        <w:pBdr>
          <w:bottom w:val="single" w:sz="12" w:space="1" w:color="auto"/>
        </w:pBdr>
      </w:pPr>
      <w:sdt>
        <w:sdtPr>
          <w:id w:val="141327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86D" w:rsidRPr="002B6B70">
            <w:rPr>
              <w:rFonts w:ascii="MS Gothic" w:eastAsia="MS Gothic" w:hAnsi="MS Gothic" w:hint="eastAsia"/>
            </w:rPr>
            <w:t>☐</w:t>
          </w:r>
        </w:sdtContent>
      </w:sdt>
      <w:r w:rsidR="00C7186D" w:rsidRPr="002B6B70">
        <w:t xml:space="preserve"> </w:t>
      </w:r>
      <w:r w:rsidR="00C7186D" w:rsidRPr="00C7186D">
        <w:t>Whole genome/exome variant calling</w:t>
      </w:r>
      <w:r w:rsidR="005A195E">
        <w:t xml:space="preserve"> </w:t>
      </w:r>
    </w:p>
    <w:p w14:paraId="533712B7" w14:textId="094BA365" w:rsidR="00C7186D" w:rsidRDefault="00364595">
      <w:pPr>
        <w:pBdr>
          <w:bottom w:val="single" w:sz="12" w:space="1" w:color="auto"/>
        </w:pBdr>
      </w:pPr>
      <w:sdt>
        <w:sdtPr>
          <w:id w:val="205550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86D" w:rsidRPr="00C7186D">
            <w:rPr>
              <w:rFonts w:ascii="MS Gothic" w:eastAsia="MS Gothic" w:hAnsi="MS Gothic" w:hint="eastAsia"/>
            </w:rPr>
            <w:t>☐</w:t>
          </w:r>
        </w:sdtContent>
      </w:sdt>
      <w:r w:rsidR="00C7186D" w:rsidRPr="00C7186D">
        <w:t xml:space="preserve"> Bulk RNA-Seq</w:t>
      </w:r>
      <w:r w:rsidR="0070189F">
        <w:t xml:space="preserve"> </w:t>
      </w:r>
    </w:p>
    <w:p w14:paraId="272F5327" w14:textId="4581EB7D" w:rsidR="00C7186D" w:rsidRDefault="00364595">
      <w:pPr>
        <w:pBdr>
          <w:bottom w:val="single" w:sz="12" w:space="1" w:color="auto"/>
        </w:pBdr>
      </w:pPr>
      <w:sdt>
        <w:sdtPr>
          <w:id w:val="178915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86D">
            <w:rPr>
              <w:rFonts w:ascii="MS Gothic" w:eastAsia="MS Gothic" w:hAnsi="MS Gothic" w:hint="eastAsia"/>
            </w:rPr>
            <w:t>☐</w:t>
          </w:r>
        </w:sdtContent>
      </w:sdt>
      <w:r w:rsidR="00C7186D">
        <w:t xml:space="preserve"> </w:t>
      </w:r>
      <w:proofErr w:type="spellStart"/>
      <w:r w:rsidR="00C7186D">
        <w:t>scRNA</w:t>
      </w:r>
      <w:proofErr w:type="spellEnd"/>
      <w:r w:rsidR="00C7186D">
        <w:t>-Seq (10X Genomics only)</w:t>
      </w:r>
    </w:p>
    <w:p w14:paraId="776D9B96" w14:textId="2BE197AE" w:rsidR="002B6B70" w:rsidRDefault="00364595">
      <w:pPr>
        <w:pBdr>
          <w:bottom w:val="single" w:sz="12" w:space="1" w:color="auto"/>
        </w:pBdr>
      </w:pPr>
      <w:sdt>
        <w:sdtPr>
          <w:id w:val="-154429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70">
            <w:rPr>
              <w:rFonts w:ascii="MS Gothic" w:eastAsia="MS Gothic" w:hAnsi="MS Gothic" w:hint="eastAsia"/>
            </w:rPr>
            <w:t>☐</w:t>
          </w:r>
        </w:sdtContent>
      </w:sdt>
      <w:r w:rsidR="002B6B70">
        <w:t xml:space="preserve"> Duplex Sequencing (Contact Scott Kennedy prior to submitting samples, </w:t>
      </w:r>
      <w:hyperlink r:id="rId6" w:history="1">
        <w:r w:rsidR="002B6B70" w:rsidRPr="00C42C94">
          <w:rPr>
            <w:rStyle w:val="Hyperlink"/>
          </w:rPr>
          <w:t>scottrk@uw.edu</w:t>
        </w:r>
      </w:hyperlink>
      <w:r w:rsidR="002B6B70">
        <w:t xml:space="preserve"> )</w:t>
      </w:r>
    </w:p>
    <w:p w14:paraId="4E6DAA1F" w14:textId="45E1EE01" w:rsidR="002B6B70" w:rsidRDefault="00364595">
      <w:pPr>
        <w:pBdr>
          <w:bottom w:val="single" w:sz="12" w:space="1" w:color="auto"/>
        </w:pBdr>
      </w:pPr>
      <w:sdt>
        <w:sdtPr>
          <w:id w:val="-36675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70">
            <w:rPr>
              <w:rFonts w:ascii="MS Gothic" w:eastAsia="MS Gothic" w:hAnsi="MS Gothic" w:hint="eastAsia"/>
            </w:rPr>
            <w:t>☐</w:t>
          </w:r>
        </w:sdtContent>
      </w:sdt>
      <w:r w:rsidR="002B6B70">
        <w:t xml:space="preserve"> Digital Spatial Profiling (</w:t>
      </w:r>
      <w:proofErr w:type="spellStart"/>
      <w:r w:rsidR="002B6B70">
        <w:t>Nanostring</w:t>
      </w:r>
      <w:proofErr w:type="spellEnd"/>
      <w:r w:rsidR="002B6B70">
        <w:t xml:space="preserve"> </w:t>
      </w:r>
      <w:proofErr w:type="spellStart"/>
      <w:r w:rsidR="002B6B70">
        <w:t>GeoMx</w:t>
      </w:r>
      <w:proofErr w:type="spellEnd"/>
      <w:r w:rsidR="002B6B70">
        <w:t xml:space="preserve"> only)</w:t>
      </w:r>
    </w:p>
    <w:p w14:paraId="5AED0F8E" w14:textId="6F50AF06" w:rsidR="002B6B70" w:rsidRDefault="00364595">
      <w:pPr>
        <w:pBdr>
          <w:bottom w:val="single" w:sz="12" w:space="1" w:color="auto"/>
        </w:pBdr>
      </w:pPr>
      <w:sdt>
        <w:sdtPr>
          <w:id w:val="75732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70">
            <w:rPr>
              <w:rFonts w:ascii="MS Gothic" w:eastAsia="MS Gothic" w:hAnsi="MS Gothic" w:hint="eastAsia"/>
            </w:rPr>
            <w:t>☐</w:t>
          </w:r>
        </w:sdtContent>
      </w:sdt>
      <w:r w:rsidR="002B6B70">
        <w:t xml:space="preserve"> Other (Contact Scott Kennedy prior to submitting samples, </w:t>
      </w:r>
      <w:hyperlink r:id="rId7" w:history="1">
        <w:r w:rsidR="002B6B70" w:rsidRPr="00C42C94">
          <w:rPr>
            <w:rStyle w:val="Hyperlink"/>
          </w:rPr>
          <w:t>scottrk@uw.edu</w:t>
        </w:r>
      </w:hyperlink>
      <w:r w:rsidR="002B6B70">
        <w:t xml:space="preserve"> )</w:t>
      </w:r>
    </w:p>
    <w:p w14:paraId="05577710" w14:textId="5CBE7B5F" w:rsidR="005A195E" w:rsidRDefault="005A195E">
      <w:pPr>
        <w:pBdr>
          <w:bottom w:val="single" w:sz="12" w:space="1" w:color="auto"/>
        </w:pBdr>
      </w:pPr>
    </w:p>
    <w:p w14:paraId="128FCEDF" w14:textId="77777777" w:rsidR="008E7022" w:rsidRDefault="008E7022">
      <w:pPr>
        <w:pBdr>
          <w:bottom w:val="single" w:sz="12" w:space="1" w:color="auto"/>
        </w:pBdr>
      </w:pPr>
    </w:p>
    <w:p w14:paraId="6E5AC144" w14:textId="29A09625" w:rsidR="005A195E" w:rsidRPr="00870664" w:rsidRDefault="005A195E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Reference</w:t>
      </w:r>
      <w:r w:rsidRPr="00870664">
        <w:rPr>
          <w:b/>
          <w:bCs/>
        </w:rPr>
        <w:t xml:space="preserve"> genome</w:t>
      </w:r>
    </w:p>
    <w:p w14:paraId="03FA12DF" w14:textId="35B00737" w:rsidR="005A195E" w:rsidRDefault="00870664">
      <w:pPr>
        <w:pBdr>
          <w:bottom w:val="single" w:sz="12" w:space="1" w:color="auto"/>
        </w:pBdr>
      </w:pPr>
      <w:r>
        <w:t xml:space="preserve">Organism: </w:t>
      </w:r>
      <w:sdt>
        <w:sdtPr>
          <w:id w:val="284008895"/>
          <w:placeholder>
            <w:docPart w:val="DefaultPlaceholder_-1854013440"/>
          </w:placeholder>
          <w:showingPlcHdr/>
        </w:sdtPr>
        <w:sdtEndPr/>
        <w:sdtContent>
          <w:r w:rsidRPr="00870664">
            <w:rPr>
              <w:rStyle w:val="PlaceholderText"/>
              <w:u w:val="single"/>
            </w:rPr>
            <w:t>Click or tap here to enter text.</w:t>
          </w:r>
        </w:sdtContent>
      </w:sdt>
    </w:p>
    <w:p w14:paraId="39B65DE8" w14:textId="0CBF4C82" w:rsidR="002B6B70" w:rsidRPr="00C7186D" w:rsidRDefault="00870664">
      <w:pPr>
        <w:pBdr>
          <w:bottom w:val="single" w:sz="12" w:space="1" w:color="auto"/>
        </w:pBdr>
      </w:pPr>
      <w:r>
        <w:t>Reference Genome:</w:t>
      </w:r>
      <w:r w:rsidR="008E7022">
        <w:t xml:space="preserve"> </w:t>
      </w:r>
      <w:r>
        <w:t xml:space="preserve"> </w:t>
      </w:r>
      <w:sdt>
        <w:sdtPr>
          <w:id w:val="-1222825594"/>
          <w:placeholder>
            <w:docPart w:val="DefaultPlaceholder_-1854013440"/>
          </w:placeholder>
          <w:showingPlcHdr/>
        </w:sdtPr>
        <w:sdtEndPr/>
        <w:sdtContent>
          <w:r w:rsidRPr="00870664">
            <w:rPr>
              <w:rStyle w:val="PlaceholderText"/>
              <w:u w:val="single"/>
            </w:rPr>
            <w:t>Click or tap here to enter text.</w:t>
          </w:r>
        </w:sdtContent>
      </w:sdt>
    </w:p>
    <w:p w14:paraId="315D9F77" w14:textId="0383DD66" w:rsidR="00A03633" w:rsidRDefault="00A03633"/>
    <w:p w14:paraId="74D1344B" w14:textId="77777777" w:rsidR="008E7022" w:rsidRDefault="008E7022"/>
    <w:p w14:paraId="1168ED07" w14:textId="77777777" w:rsidR="008E7022" w:rsidRDefault="008E7022">
      <w:pPr>
        <w:rPr>
          <w:b/>
          <w:bCs/>
        </w:rPr>
      </w:pPr>
      <w:r>
        <w:rPr>
          <w:b/>
          <w:bCs/>
        </w:rPr>
        <w:br w:type="page"/>
      </w:r>
    </w:p>
    <w:p w14:paraId="11870C88" w14:textId="1B43C1A7" w:rsidR="005550EF" w:rsidRDefault="005550EF" w:rsidP="005550EF">
      <w:pPr>
        <w:rPr>
          <w:b/>
          <w:bCs/>
        </w:rPr>
      </w:pPr>
      <w:r w:rsidRPr="005550EF">
        <w:rPr>
          <w:b/>
          <w:bCs/>
        </w:rPr>
        <w:lastRenderedPageBreak/>
        <w:t>Desired Illumina kit</w:t>
      </w:r>
      <w:r w:rsidR="00BC0895">
        <w:rPr>
          <w:b/>
          <w:bCs/>
        </w:rPr>
        <w:t xml:space="preserve"> </w:t>
      </w:r>
    </w:p>
    <w:p w14:paraId="5EA4C6B2" w14:textId="6C3C4A3D" w:rsidR="00BC0895" w:rsidRPr="00270265" w:rsidRDefault="00BC0895" w:rsidP="005550EF">
      <w:r w:rsidRPr="00270265">
        <w:t xml:space="preserve">Please provide </w:t>
      </w:r>
      <w:r w:rsidR="00270265" w:rsidRPr="00270265">
        <w:t>sequencing reagents on dry ice and</w:t>
      </w:r>
      <w:r w:rsidR="00502C55">
        <w:t xml:space="preserve"> appropriate</w:t>
      </w:r>
      <w:r w:rsidR="00270265" w:rsidRPr="00270265">
        <w:t xml:space="preserve"> flow cell</w:t>
      </w:r>
    </w:p>
    <w:p w14:paraId="04F87455" w14:textId="77777777" w:rsidR="005550EF" w:rsidRDefault="005550EF" w:rsidP="005550EF"/>
    <w:p w14:paraId="63467DEC" w14:textId="5D3F9AE6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-48639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S1 Reagent Kit v1.5 (100 cycles) </w:t>
      </w:r>
      <w:r w:rsidRPr="00270265">
        <w:rPr>
          <w:sz w:val="20"/>
          <w:szCs w:val="20"/>
        </w:rPr>
        <w:tab/>
        <w:t>20028319</w:t>
      </w:r>
    </w:p>
    <w:p w14:paraId="2259BA0D" w14:textId="4417667B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-206701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S1 Reagent Kit v1.5 (200 cycles) </w:t>
      </w:r>
      <w:r w:rsidRPr="00270265">
        <w:rPr>
          <w:sz w:val="20"/>
          <w:szCs w:val="20"/>
        </w:rPr>
        <w:tab/>
        <w:t>20028318</w:t>
      </w:r>
    </w:p>
    <w:p w14:paraId="67434D1A" w14:textId="7B4CB650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-97984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S1 Reagent Kit v1.5 (300 cycles) </w:t>
      </w:r>
      <w:r w:rsidRPr="00270265">
        <w:rPr>
          <w:sz w:val="20"/>
          <w:szCs w:val="20"/>
        </w:rPr>
        <w:tab/>
        <w:t>20028317</w:t>
      </w:r>
    </w:p>
    <w:p w14:paraId="1BF1CA1F" w14:textId="0271A0BC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199691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S2 Reagent Kit v1.5 (100 cycles) </w:t>
      </w:r>
      <w:r w:rsidRPr="00270265">
        <w:rPr>
          <w:sz w:val="20"/>
          <w:szCs w:val="20"/>
        </w:rPr>
        <w:tab/>
        <w:t>20028316</w:t>
      </w:r>
    </w:p>
    <w:p w14:paraId="25E3BB6A" w14:textId="595DAE22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135407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S2 Reagent Kit v1.5 (200 cycles) </w:t>
      </w:r>
      <w:r w:rsidRPr="00270265">
        <w:rPr>
          <w:sz w:val="20"/>
          <w:szCs w:val="20"/>
        </w:rPr>
        <w:tab/>
        <w:t>20028315</w:t>
      </w:r>
    </w:p>
    <w:p w14:paraId="2C99952B" w14:textId="5F5CF4C5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-10350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S2 Reagent Kit v1.5 (300 cycles) </w:t>
      </w:r>
      <w:r w:rsidRPr="00270265">
        <w:rPr>
          <w:sz w:val="20"/>
          <w:szCs w:val="20"/>
        </w:rPr>
        <w:tab/>
        <w:t>20028314</w:t>
      </w:r>
    </w:p>
    <w:p w14:paraId="1AFC6D49" w14:textId="127B78B5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-182279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S4 Reagent Kit v1.5 (200 cycles) </w:t>
      </w:r>
      <w:r w:rsidRPr="00270265">
        <w:rPr>
          <w:sz w:val="20"/>
          <w:szCs w:val="20"/>
        </w:rPr>
        <w:tab/>
        <w:t>20028313</w:t>
      </w:r>
    </w:p>
    <w:p w14:paraId="60F95B1D" w14:textId="48C8D8FC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-61899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S4 Reagent Kit v1.5 (300 cycles) </w:t>
      </w:r>
      <w:r w:rsidRPr="00270265">
        <w:rPr>
          <w:sz w:val="20"/>
          <w:szCs w:val="20"/>
        </w:rPr>
        <w:tab/>
        <w:t>20028312</w:t>
      </w:r>
    </w:p>
    <w:p w14:paraId="59296051" w14:textId="521441DE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-77925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SP Reagent Kit v1.5 (100 cycles) </w:t>
      </w:r>
      <w:r w:rsidRPr="00270265">
        <w:rPr>
          <w:sz w:val="20"/>
          <w:szCs w:val="20"/>
        </w:rPr>
        <w:tab/>
        <w:t>20028401</w:t>
      </w:r>
    </w:p>
    <w:p w14:paraId="2360FC23" w14:textId="67A3BC1F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191890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SP Reagent Kit v1.5 (200 cycles) </w:t>
      </w:r>
      <w:r w:rsidRPr="00270265">
        <w:rPr>
          <w:sz w:val="20"/>
          <w:szCs w:val="20"/>
        </w:rPr>
        <w:tab/>
        <w:t>20040719</w:t>
      </w:r>
    </w:p>
    <w:p w14:paraId="5AB59617" w14:textId="2845E158" w:rsidR="00270265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111880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SP Reagent Kit v1.5 (300 cycles) </w:t>
      </w:r>
      <w:r w:rsidRPr="00270265">
        <w:rPr>
          <w:sz w:val="20"/>
          <w:szCs w:val="20"/>
        </w:rPr>
        <w:tab/>
        <w:t>20028400</w:t>
      </w:r>
    </w:p>
    <w:p w14:paraId="4A9399D3" w14:textId="563CA6E1" w:rsidR="005550EF" w:rsidRPr="00270265" w:rsidRDefault="00270265" w:rsidP="00270265">
      <w:pPr>
        <w:rPr>
          <w:sz w:val="20"/>
          <w:szCs w:val="20"/>
        </w:rPr>
      </w:pPr>
      <w:r>
        <w:tab/>
      </w:r>
      <w:sdt>
        <w:sdtPr>
          <w:id w:val="-193920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 w:rsidRPr="00EE2F3C">
            <w:rPr>
              <w:rFonts w:ascii="MS Gothic" w:eastAsia="MS Gothic" w:hAnsi="MS Gothic" w:hint="eastAsia"/>
            </w:rPr>
            <w:t>☐</w:t>
          </w:r>
        </w:sdtContent>
      </w:sdt>
      <w:r w:rsidRPr="00C14684">
        <w:t xml:space="preserve"> </w:t>
      </w:r>
      <w:proofErr w:type="spellStart"/>
      <w:r w:rsidRPr="00270265">
        <w:rPr>
          <w:sz w:val="20"/>
          <w:szCs w:val="20"/>
        </w:rPr>
        <w:t>NovaSeq</w:t>
      </w:r>
      <w:proofErr w:type="spellEnd"/>
      <w:r w:rsidRPr="00270265">
        <w:rPr>
          <w:sz w:val="20"/>
          <w:szCs w:val="20"/>
        </w:rPr>
        <w:t xml:space="preserve"> 6000 SP Reagent Kit v1.5 (500 cycles) </w:t>
      </w:r>
      <w:r w:rsidRPr="00270265">
        <w:rPr>
          <w:sz w:val="20"/>
          <w:szCs w:val="20"/>
        </w:rPr>
        <w:tab/>
        <w:t>20028402</w:t>
      </w:r>
    </w:p>
    <w:p w14:paraId="5CC67574" w14:textId="741397E0" w:rsidR="00994DEE" w:rsidRDefault="00994DEE"/>
    <w:p w14:paraId="2EB67066" w14:textId="11C181BF" w:rsidR="005550EF" w:rsidRDefault="006D629A">
      <w:r>
        <w:rPr>
          <w:b/>
          <w:bCs/>
        </w:rPr>
        <w:t>P</w:t>
      </w:r>
      <w:r w:rsidR="005550EF" w:rsidRPr="005550EF">
        <w:rPr>
          <w:b/>
          <w:bCs/>
        </w:rPr>
        <w:t>ool concentration</w:t>
      </w:r>
      <w:r w:rsidR="005550EF">
        <w:t xml:space="preserve"> </w:t>
      </w:r>
      <w:r w:rsidRPr="00E60769">
        <w:rPr>
          <w:b/>
          <w:bCs/>
        </w:rPr>
        <w:t>provided</w:t>
      </w:r>
      <w:sdt>
        <w:sdtPr>
          <w:rPr>
            <w:b/>
            <w:bCs/>
          </w:rPr>
          <w:id w:val="-1112270474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5550EF">
            <w:t>_______</w:t>
          </w:r>
        </w:sdtContent>
      </w:sdt>
      <w:r w:rsidR="005550EF">
        <w:t xml:space="preserve"> </w:t>
      </w:r>
      <w:proofErr w:type="spellStart"/>
      <w:r w:rsidR="005550EF">
        <w:t>nM</w:t>
      </w:r>
      <w:proofErr w:type="spellEnd"/>
      <w:r w:rsidR="00683511">
        <w:t xml:space="preserve"> (&gt;</w:t>
      </w:r>
      <w:r w:rsidR="00304823">
        <w:t xml:space="preserve">6nM </w:t>
      </w:r>
      <w:r w:rsidR="00683511">
        <w:t>is required)</w:t>
      </w:r>
      <w:r w:rsidR="005550EF">
        <w:t xml:space="preserve">.   Your run quality and yield will be adversely impacted by an inaccurate concentration. </w:t>
      </w:r>
      <w:r w:rsidR="00BC0895">
        <w:t xml:space="preserve"> NGS libraries must be pooled and provided in a single </w:t>
      </w:r>
      <w:r w:rsidR="00270265">
        <w:t xml:space="preserve">tube. </w:t>
      </w:r>
    </w:p>
    <w:p w14:paraId="0FB1E93F" w14:textId="77777777" w:rsidR="005550EF" w:rsidRDefault="005550EF"/>
    <w:p w14:paraId="47B419A1" w14:textId="06649666" w:rsidR="00994DEE" w:rsidRPr="00994DEE" w:rsidRDefault="00994DEE">
      <w:pPr>
        <w:rPr>
          <w:b/>
          <w:bCs/>
        </w:rPr>
      </w:pPr>
      <w:r w:rsidRPr="00994DEE">
        <w:rPr>
          <w:b/>
          <w:bCs/>
        </w:rPr>
        <w:t xml:space="preserve">Attach formatted sample sheet </w:t>
      </w:r>
    </w:p>
    <w:p w14:paraId="5BEA749C" w14:textId="17B02885" w:rsidR="00994DEE" w:rsidRDefault="00994DEE">
      <w:r>
        <w:t>Please ensure your sample sheet is properly formatted.  Our staff will not be able to load the instrument if your sample sheet cannot be uploaded to the Sequencing Control Software</w:t>
      </w:r>
      <w:r w:rsidR="00502C55">
        <w:t xml:space="preserve"> and your reagents may be wasted. </w:t>
      </w:r>
      <w:r w:rsidR="002B6B70">
        <w:t xml:space="preserve">Formatting questions can be directed to Scott Kennedy ( </w:t>
      </w:r>
      <w:hyperlink r:id="rId8" w:history="1">
        <w:r w:rsidR="002B6B70" w:rsidRPr="00C42C94">
          <w:rPr>
            <w:rStyle w:val="Hyperlink"/>
          </w:rPr>
          <w:t>scottrk@uw.edu</w:t>
        </w:r>
      </w:hyperlink>
      <w:r w:rsidR="002B6B70">
        <w:t xml:space="preserve"> )</w:t>
      </w:r>
    </w:p>
    <w:p w14:paraId="1C13D8F9" w14:textId="77777777" w:rsidR="00994DEE" w:rsidRDefault="00994DEE"/>
    <w:p w14:paraId="761B8F16" w14:textId="4DF1B381" w:rsidR="00994DEE" w:rsidRDefault="00A03633">
      <w:pPr>
        <w:rPr>
          <w:b/>
          <w:bCs/>
        </w:rPr>
      </w:pPr>
      <w:r w:rsidRPr="00994DEE">
        <w:rPr>
          <w:b/>
          <w:bCs/>
        </w:rPr>
        <w:t>Data</w:t>
      </w:r>
      <w:r w:rsidR="00994DEE" w:rsidRPr="00994DEE">
        <w:rPr>
          <w:b/>
          <w:bCs/>
        </w:rPr>
        <w:t xml:space="preserve"> format</w:t>
      </w:r>
    </w:p>
    <w:p w14:paraId="4C804BA8" w14:textId="1B69302A" w:rsidR="0026419A" w:rsidRPr="00AA3DF4" w:rsidRDefault="0026419A">
      <w:r w:rsidRPr="00AA3DF4">
        <w:t>Transfer</w:t>
      </w:r>
      <w:r w:rsidR="003F6584" w:rsidRPr="00AA3DF4">
        <w:t xml:space="preserve"> will be </w:t>
      </w:r>
      <w:r w:rsidR="000E7ABA" w:rsidRPr="00AA3DF4">
        <w:t xml:space="preserve">raw </w:t>
      </w:r>
      <w:proofErr w:type="spellStart"/>
      <w:r w:rsidR="003F6584" w:rsidRPr="00AA3DF4">
        <w:t>bcl</w:t>
      </w:r>
      <w:proofErr w:type="spellEnd"/>
      <w:r w:rsidR="003F6584" w:rsidRPr="00AA3DF4">
        <w:t xml:space="preserve"> files for the run</w:t>
      </w:r>
      <w:r w:rsidRPr="00AA3DF4">
        <w:t xml:space="preserve">. </w:t>
      </w:r>
      <w:r w:rsidR="00785E25" w:rsidRPr="00AA3DF4">
        <w:rPr>
          <w:u w:val="single"/>
        </w:rPr>
        <w:t>Note that d</w:t>
      </w:r>
      <w:r w:rsidRPr="00AA3DF4">
        <w:rPr>
          <w:u w:val="single"/>
        </w:rPr>
        <w:t>emultiplexing will not be performed</w:t>
      </w:r>
      <w:r w:rsidR="000E7ABA" w:rsidRPr="00AA3DF4">
        <w:rPr>
          <w:u w:val="single"/>
        </w:rPr>
        <w:t xml:space="preserve"> by UW Virology</w:t>
      </w:r>
      <w:r w:rsidR="003F6584" w:rsidRPr="00AA3DF4">
        <w:rPr>
          <w:u w:val="single"/>
        </w:rPr>
        <w:t>.</w:t>
      </w:r>
    </w:p>
    <w:p w14:paraId="0BAEEA4F" w14:textId="5F6CCD02" w:rsidR="00994DEE" w:rsidRDefault="00364595" w:rsidP="00AA3DF4">
      <w:pPr>
        <w:ind w:left="810"/>
      </w:pPr>
      <w:sdt>
        <w:sdtPr>
          <w:rPr>
            <w:rFonts w:ascii="Segoe UI Symbol" w:hAnsi="Segoe UI Symbol" w:cs="Segoe UI Symbol"/>
          </w:rPr>
          <w:id w:val="182862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94DEE" w:rsidRPr="00C14684">
        <w:t xml:space="preserve"> </w:t>
      </w:r>
      <w:r w:rsidR="003C5AF1">
        <w:t xml:space="preserve">Option 1: </w:t>
      </w:r>
      <w:r w:rsidR="00994DEE">
        <w:t>AWS bucket</w:t>
      </w:r>
      <w:r w:rsidR="0026419A">
        <w:t>:</w:t>
      </w:r>
      <w:r w:rsidR="003C5AF1">
        <w:t xml:space="preserve"> we will provide access to an s3 path</w:t>
      </w:r>
      <w:r w:rsidR="0014258A">
        <w:t>.</w:t>
      </w:r>
    </w:p>
    <w:p w14:paraId="53094423" w14:textId="2AD516C9" w:rsidR="006D629A" w:rsidRDefault="006D629A" w:rsidP="00AA3DF4">
      <w:pPr>
        <w:ind w:left="810"/>
      </w:pPr>
      <w:r>
        <w:t xml:space="preserve">List UW Net IDs requiring access: </w:t>
      </w:r>
      <w:sdt>
        <w:sdtPr>
          <w:id w:val="715866502"/>
          <w:placeholder>
            <w:docPart w:val="DefaultPlaceholder_-1854013440"/>
          </w:placeholder>
        </w:sdtPr>
        <w:sdtEndPr/>
        <w:sdtContent>
          <w:r>
            <w:t>_________________</w:t>
          </w:r>
        </w:sdtContent>
      </w:sdt>
    </w:p>
    <w:p w14:paraId="0F93D215" w14:textId="774C2815" w:rsidR="00A03633" w:rsidRDefault="00364595" w:rsidP="00AA3DF4">
      <w:pPr>
        <w:ind w:left="810"/>
      </w:pPr>
      <w:sdt>
        <w:sdtPr>
          <w:rPr>
            <w:rFonts w:ascii="Segoe UI Symbol" w:hAnsi="Segoe UI Symbol" w:cs="Segoe UI Symbol"/>
          </w:rPr>
          <w:id w:val="28532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94DEE" w:rsidRPr="00C14684">
        <w:t xml:space="preserve"> </w:t>
      </w:r>
      <w:r w:rsidR="003C5AF1">
        <w:t xml:space="preserve">Option 2: </w:t>
      </w:r>
      <w:r w:rsidR="00994DEE">
        <w:t>External hard drive</w:t>
      </w:r>
      <w:r w:rsidR="0014258A">
        <w:t>:</w:t>
      </w:r>
      <w:r w:rsidR="00F53577">
        <w:t xml:space="preserve"> requestor will need to bring a USB drive with sufficient storage space, to be dropped off along with sequencing reagents and libraries.</w:t>
      </w:r>
      <w:r w:rsidR="00A03633">
        <w:t xml:space="preserve"> </w:t>
      </w:r>
    </w:p>
    <w:p w14:paraId="29EB5360" w14:textId="047EAE80" w:rsidR="005550EF" w:rsidRDefault="00364595" w:rsidP="00AA3DF4">
      <w:pPr>
        <w:ind w:left="810"/>
      </w:pPr>
      <w:sdt>
        <w:sdtPr>
          <w:rPr>
            <w:rFonts w:ascii="Segoe UI Symbol" w:hAnsi="Segoe UI Symbol" w:cs="Segoe UI Symbol"/>
          </w:rPr>
          <w:id w:val="-175350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3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C5AF1" w:rsidRPr="00C14684">
        <w:t xml:space="preserve"> </w:t>
      </w:r>
      <w:r w:rsidR="003C5AF1">
        <w:t xml:space="preserve">Option 3: </w:t>
      </w:r>
      <w:proofErr w:type="spellStart"/>
      <w:r w:rsidR="003C5AF1">
        <w:t>BaseSpace</w:t>
      </w:r>
      <w:proofErr w:type="spellEnd"/>
      <w:r w:rsidR="003C5AF1">
        <w:t xml:space="preserve"> transfer</w:t>
      </w:r>
      <w:r w:rsidR="00F53577">
        <w:t xml:space="preserve">: </w:t>
      </w:r>
      <w:r w:rsidR="006901CB">
        <w:t xml:space="preserve">Run </w:t>
      </w:r>
      <w:r w:rsidR="008A576E">
        <w:t xml:space="preserve">will </w:t>
      </w:r>
      <w:r w:rsidR="006901CB">
        <w:t>be transferred to requestor</w:t>
      </w:r>
      <w:r w:rsidR="008A576E">
        <w:t xml:space="preserve">’s </w:t>
      </w:r>
      <w:proofErr w:type="spellStart"/>
      <w:r w:rsidR="008A576E">
        <w:t>basespace</w:t>
      </w:r>
      <w:proofErr w:type="spellEnd"/>
      <w:r w:rsidR="008A576E">
        <w:t xml:space="preserve"> </w:t>
      </w:r>
      <w:proofErr w:type="gramStart"/>
      <w:r w:rsidR="008A576E">
        <w:t>account</w:t>
      </w:r>
      <w:proofErr w:type="gramEnd"/>
      <w:r w:rsidR="0002030C">
        <w:t xml:space="preserve"> and </w:t>
      </w:r>
      <w:r w:rsidR="008A576E">
        <w:t>any storage charges (</w:t>
      </w:r>
      <w:proofErr w:type="spellStart"/>
      <w:r w:rsidR="008A576E">
        <w:t>icredits</w:t>
      </w:r>
      <w:proofErr w:type="spellEnd"/>
      <w:r w:rsidR="008A576E">
        <w:t xml:space="preserve">) </w:t>
      </w:r>
      <w:r w:rsidR="0002030C">
        <w:t xml:space="preserve">billed by Illumina are your responsibility. </w:t>
      </w:r>
      <w:r w:rsidR="006901CB">
        <w:t xml:space="preserve"> </w:t>
      </w:r>
      <w:r w:rsidR="00093D44">
        <w:t>Provide the email address a</w:t>
      </w:r>
      <w:r w:rsidR="006901CB">
        <w:t xml:space="preserve">ssociated with your </w:t>
      </w:r>
      <w:proofErr w:type="spellStart"/>
      <w:r w:rsidR="006901CB">
        <w:t>basespace</w:t>
      </w:r>
      <w:proofErr w:type="spellEnd"/>
      <w:r w:rsidR="006901CB">
        <w:t xml:space="preserve"> account </w:t>
      </w:r>
      <w:sdt>
        <w:sdtPr>
          <w:id w:val="1784996192"/>
          <w:placeholder>
            <w:docPart w:val="DefaultPlaceholder_-1854013440"/>
          </w:placeholder>
        </w:sdtPr>
        <w:sdtEndPr/>
        <w:sdtContent>
          <w:r w:rsidR="006901CB">
            <w:t>_____________________</w:t>
          </w:r>
        </w:sdtContent>
      </w:sdt>
      <w:r w:rsidR="00893108">
        <w:t xml:space="preserve">. </w:t>
      </w:r>
    </w:p>
    <w:p w14:paraId="28B9A963" w14:textId="77777777" w:rsidR="00893108" w:rsidRDefault="00893108"/>
    <w:p w14:paraId="09B1147D" w14:textId="25CECAED" w:rsidR="00893108" w:rsidRPr="00E60769" w:rsidRDefault="0070189F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CAD1" wp14:editId="55AAC237">
                <wp:simplePos x="0" y="0"/>
                <wp:positionH relativeFrom="column">
                  <wp:posOffset>5080</wp:posOffset>
                </wp:positionH>
                <wp:positionV relativeFrom="paragraph">
                  <wp:posOffset>204470</wp:posOffset>
                </wp:positionV>
                <wp:extent cx="6187440" cy="1267460"/>
                <wp:effectExtent l="0" t="0" r="2286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26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DA55E" w14:textId="77777777" w:rsidR="0070189F" w:rsidRDefault="00701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1CA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pt;margin-top:16.1pt;width:487.2pt;height:9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" fillcolor="white [3201]" strokeweight=".5pt">
                <v:textbox>
                  <w:txbxContent>
                    <w:p w14:paraId="7E8DA55E" w14:textId="77777777" w:rsidR="0070189F" w:rsidRDefault="0070189F"/>
                  </w:txbxContent>
                </v:textbox>
                <w10:wrap type="square"/>
              </v:shape>
            </w:pict>
          </mc:Fallback>
        </mc:AlternateContent>
      </w:r>
      <w:r w:rsidR="006D629A" w:rsidRPr="00E60769">
        <w:rPr>
          <w:b/>
          <w:bCs/>
        </w:rPr>
        <w:t xml:space="preserve">Provide </w:t>
      </w:r>
      <w:r w:rsidR="00E60769">
        <w:rPr>
          <w:b/>
          <w:bCs/>
        </w:rPr>
        <w:t>a b</w:t>
      </w:r>
      <w:r w:rsidR="006D629A" w:rsidRPr="00E60769">
        <w:rPr>
          <w:b/>
          <w:bCs/>
        </w:rPr>
        <w:t xml:space="preserve">rief description of samples </w:t>
      </w:r>
      <w:r w:rsidR="00E60769">
        <w:rPr>
          <w:b/>
          <w:bCs/>
        </w:rPr>
        <w:t>in the NGS library</w:t>
      </w:r>
      <w:r w:rsidR="00893108" w:rsidRPr="00E60769">
        <w:rPr>
          <w:b/>
          <w:bCs/>
        </w:rPr>
        <w:t xml:space="preserve">: </w:t>
      </w:r>
    </w:p>
    <w:p w14:paraId="0D903093" w14:textId="192CAC5C" w:rsidR="00893108" w:rsidRDefault="00893108"/>
    <w:p w14:paraId="6671E1F4" w14:textId="79D95979" w:rsidR="00FE1AD7" w:rsidRDefault="00FE1AD7"/>
    <w:p w14:paraId="23C93DFF" w14:textId="7A5C24F1" w:rsidR="004D5D81" w:rsidRDefault="004D5D81"/>
    <w:p w14:paraId="70D7BECB" w14:textId="7C05F756" w:rsidR="004D5D81" w:rsidRDefault="004D5D81">
      <w:r w:rsidRPr="00E60769">
        <w:rPr>
          <w:b/>
          <w:bCs/>
        </w:rPr>
        <w:t>Sequencing run approved</w:t>
      </w:r>
      <w:r>
        <w:t xml:space="preserve"> _____________________________</w:t>
      </w:r>
      <w:r w:rsidR="00E60769">
        <w:t>_</w:t>
      </w:r>
      <w:r>
        <w:t>__</w:t>
      </w:r>
      <w:r>
        <w:tab/>
      </w:r>
      <w:r w:rsidRPr="00E60769">
        <w:rPr>
          <w:b/>
          <w:bCs/>
        </w:rPr>
        <w:t xml:space="preserve">Date </w:t>
      </w:r>
      <w:r>
        <w:t>___________________</w:t>
      </w:r>
    </w:p>
    <w:p w14:paraId="64BC55BC" w14:textId="2A4C6BF0" w:rsidR="00E60769" w:rsidRPr="00683511" w:rsidRDefault="00E60769" w:rsidP="00683511">
      <w:pPr>
        <w:tabs>
          <w:tab w:val="left" w:pos="3240"/>
        </w:tabs>
        <w:rPr>
          <w:sz w:val="20"/>
          <w:szCs w:val="20"/>
        </w:rPr>
      </w:pPr>
      <w:r>
        <w:tab/>
      </w:r>
      <w:r w:rsidRPr="00683511">
        <w:rPr>
          <w:sz w:val="20"/>
          <w:szCs w:val="20"/>
        </w:rPr>
        <w:t>Virology Sequencing Manager</w:t>
      </w:r>
    </w:p>
    <w:p w14:paraId="28AE440C" w14:textId="3D176684" w:rsidR="006D629A" w:rsidRDefault="006D629A" w:rsidP="00FE1AD7">
      <w:pPr>
        <w:jc w:val="center"/>
      </w:pPr>
    </w:p>
    <w:p w14:paraId="45C49E1C" w14:textId="77777777" w:rsidR="00D36C15" w:rsidRDefault="00D36C15" w:rsidP="00FE1AD7">
      <w:pPr>
        <w:jc w:val="center"/>
      </w:pPr>
    </w:p>
    <w:p w14:paraId="4712E79A" w14:textId="77777777" w:rsidR="00FE1AD7" w:rsidRDefault="00FE1AD7" w:rsidP="001F40F4"/>
    <w:p w14:paraId="0CC1C2EF" w14:textId="77953E22" w:rsidR="006D629A" w:rsidRPr="00E60769" w:rsidRDefault="006D629A" w:rsidP="00683511">
      <w:pPr>
        <w:jc w:val="center"/>
        <w:rPr>
          <w:b/>
          <w:bCs/>
        </w:rPr>
      </w:pPr>
      <w:r w:rsidRPr="00E60769">
        <w:rPr>
          <w:b/>
          <w:bCs/>
        </w:rPr>
        <w:t>Run QC</w:t>
      </w:r>
      <w:r w:rsidR="00E60769">
        <w:rPr>
          <w:b/>
          <w:bCs/>
        </w:rPr>
        <w:t xml:space="preserve"> summary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991"/>
        <w:gridCol w:w="1182"/>
        <w:gridCol w:w="941"/>
        <w:gridCol w:w="1076"/>
        <w:gridCol w:w="1102"/>
        <w:gridCol w:w="1207"/>
        <w:gridCol w:w="690"/>
        <w:gridCol w:w="690"/>
        <w:gridCol w:w="758"/>
        <w:gridCol w:w="713"/>
      </w:tblGrid>
      <w:tr w:rsidR="001F40F4" w14:paraId="4E7D3437" w14:textId="77777777" w:rsidTr="00683511">
        <w:trPr>
          <w:trHeight w:val="836"/>
          <w:jc w:val="center"/>
        </w:trPr>
        <w:tc>
          <w:tcPr>
            <w:tcW w:w="991" w:type="dxa"/>
          </w:tcPr>
          <w:p w14:paraId="4A273788" w14:textId="77777777" w:rsidR="001F40F4" w:rsidRPr="00683511" w:rsidRDefault="001F40F4" w:rsidP="0093676C">
            <w:pPr>
              <w:rPr>
                <w:b/>
                <w:bCs/>
                <w:sz w:val="16"/>
                <w:szCs w:val="16"/>
              </w:rPr>
            </w:pPr>
            <w:r w:rsidRPr="00683511">
              <w:rPr>
                <w:b/>
                <w:bCs/>
                <w:sz w:val="16"/>
                <w:szCs w:val="16"/>
              </w:rPr>
              <w:t>Flow Cell ID</w:t>
            </w:r>
          </w:p>
        </w:tc>
        <w:tc>
          <w:tcPr>
            <w:tcW w:w="1182" w:type="dxa"/>
          </w:tcPr>
          <w:p w14:paraId="5D8A4754" w14:textId="77777777" w:rsidR="001F40F4" w:rsidRPr="00683511" w:rsidRDefault="001F40F4" w:rsidP="0093676C">
            <w:pPr>
              <w:rPr>
                <w:b/>
                <w:bCs/>
                <w:sz w:val="16"/>
                <w:szCs w:val="16"/>
              </w:rPr>
            </w:pPr>
            <w:r w:rsidRPr="00683511">
              <w:rPr>
                <w:b/>
                <w:bCs/>
                <w:sz w:val="16"/>
                <w:szCs w:val="16"/>
              </w:rPr>
              <w:t>Illumina Run ID</w:t>
            </w:r>
          </w:p>
        </w:tc>
        <w:tc>
          <w:tcPr>
            <w:tcW w:w="941" w:type="dxa"/>
          </w:tcPr>
          <w:p w14:paraId="3C1CF669" w14:textId="77777777" w:rsidR="001F40F4" w:rsidRPr="00683511" w:rsidRDefault="001F40F4" w:rsidP="0093676C">
            <w:pPr>
              <w:rPr>
                <w:b/>
                <w:bCs/>
                <w:sz w:val="16"/>
                <w:szCs w:val="16"/>
              </w:rPr>
            </w:pPr>
            <w:r w:rsidRPr="00683511">
              <w:rPr>
                <w:b/>
                <w:bCs/>
                <w:sz w:val="16"/>
                <w:szCs w:val="16"/>
              </w:rPr>
              <w:t>Pool Qubit (ng/ul)</w:t>
            </w:r>
          </w:p>
        </w:tc>
        <w:tc>
          <w:tcPr>
            <w:tcW w:w="1076" w:type="dxa"/>
          </w:tcPr>
          <w:p w14:paraId="3E25F110" w14:textId="07BBA17B" w:rsidR="001F40F4" w:rsidRPr="00683511" w:rsidRDefault="001F40F4" w:rsidP="0093676C">
            <w:pPr>
              <w:rPr>
                <w:b/>
                <w:bCs/>
                <w:sz w:val="16"/>
                <w:szCs w:val="16"/>
              </w:rPr>
            </w:pPr>
            <w:r w:rsidRPr="00683511">
              <w:rPr>
                <w:b/>
                <w:bCs/>
                <w:sz w:val="16"/>
                <w:szCs w:val="16"/>
              </w:rPr>
              <w:t>Pool Size (T</w:t>
            </w:r>
            <w:r w:rsidRPr="001F40F4">
              <w:rPr>
                <w:b/>
                <w:bCs/>
                <w:sz w:val="16"/>
                <w:szCs w:val="16"/>
              </w:rPr>
              <w:t xml:space="preserve">S </w:t>
            </w:r>
            <w:r w:rsidRPr="00683511">
              <w:rPr>
                <w:b/>
                <w:bCs/>
                <w:sz w:val="16"/>
                <w:szCs w:val="16"/>
              </w:rPr>
              <w:t>Peak)</w:t>
            </w:r>
          </w:p>
        </w:tc>
        <w:tc>
          <w:tcPr>
            <w:tcW w:w="1102" w:type="dxa"/>
          </w:tcPr>
          <w:p w14:paraId="509DC143" w14:textId="77777777" w:rsidR="001F40F4" w:rsidRPr="00683511" w:rsidRDefault="001F40F4" w:rsidP="0093676C">
            <w:pPr>
              <w:rPr>
                <w:b/>
                <w:bCs/>
                <w:sz w:val="16"/>
                <w:szCs w:val="16"/>
              </w:rPr>
            </w:pPr>
            <w:r w:rsidRPr="00683511">
              <w:rPr>
                <w:b/>
                <w:bCs/>
                <w:sz w:val="16"/>
                <w:szCs w:val="16"/>
              </w:rPr>
              <w:t>Final Loading Qubit (ng/ul)</w:t>
            </w:r>
          </w:p>
        </w:tc>
        <w:tc>
          <w:tcPr>
            <w:tcW w:w="1207" w:type="dxa"/>
          </w:tcPr>
          <w:p w14:paraId="4F0C07FF" w14:textId="442E9618" w:rsidR="001F40F4" w:rsidRPr="00683511" w:rsidRDefault="001F40F4" w:rsidP="0093676C">
            <w:pPr>
              <w:rPr>
                <w:b/>
                <w:bCs/>
                <w:sz w:val="16"/>
                <w:szCs w:val="16"/>
              </w:rPr>
            </w:pPr>
            <w:r w:rsidRPr="00683511">
              <w:rPr>
                <w:b/>
                <w:bCs/>
                <w:sz w:val="16"/>
                <w:szCs w:val="16"/>
              </w:rPr>
              <w:t>Final Loading Conc</w:t>
            </w:r>
            <w:r w:rsidRPr="001F40F4">
              <w:rPr>
                <w:b/>
                <w:bCs/>
                <w:sz w:val="16"/>
                <w:szCs w:val="16"/>
              </w:rPr>
              <w:t>.</w:t>
            </w:r>
            <w:r w:rsidRPr="00683511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683511">
              <w:rPr>
                <w:b/>
                <w:bCs/>
                <w:sz w:val="16"/>
                <w:szCs w:val="16"/>
              </w:rPr>
              <w:t>nM</w:t>
            </w:r>
            <w:proofErr w:type="spellEnd"/>
            <w:r w:rsidRPr="0068351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0" w:type="dxa"/>
          </w:tcPr>
          <w:p w14:paraId="6550559A" w14:textId="332D2F80" w:rsidR="001F40F4" w:rsidRPr="001F40F4" w:rsidRDefault="001F40F4" w:rsidP="006835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0F4">
              <w:rPr>
                <w:b/>
                <w:bCs/>
                <w:sz w:val="16"/>
                <w:szCs w:val="16"/>
              </w:rPr>
              <w:t>Q30</w:t>
            </w:r>
          </w:p>
        </w:tc>
        <w:tc>
          <w:tcPr>
            <w:tcW w:w="690" w:type="dxa"/>
          </w:tcPr>
          <w:p w14:paraId="2A4BB2C8" w14:textId="2697EB9D" w:rsidR="001F40F4" w:rsidRPr="001F40F4" w:rsidRDefault="001F40F4" w:rsidP="006835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0F4">
              <w:rPr>
                <w:b/>
                <w:bCs/>
                <w:sz w:val="16"/>
                <w:szCs w:val="16"/>
              </w:rPr>
              <w:t>PF</w:t>
            </w:r>
          </w:p>
        </w:tc>
        <w:tc>
          <w:tcPr>
            <w:tcW w:w="758" w:type="dxa"/>
          </w:tcPr>
          <w:p w14:paraId="1B9BA79E" w14:textId="5E34CA8F" w:rsidR="001F40F4" w:rsidRPr="00683511" w:rsidRDefault="001F40F4" w:rsidP="0093676C">
            <w:pPr>
              <w:rPr>
                <w:b/>
                <w:bCs/>
                <w:sz w:val="16"/>
                <w:szCs w:val="16"/>
              </w:rPr>
            </w:pPr>
            <w:r w:rsidRPr="00683511">
              <w:rPr>
                <w:b/>
                <w:bCs/>
                <w:sz w:val="16"/>
                <w:szCs w:val="16"/>
              </w:rPr>
              <w:t>Tech Initials</w:t>
            </w:r>
          </w:p>
        </w:tc>
        <w:tc>
          <w:tcPr>
            <w:tcW w:w="713" w:type="dxa"/>
          </w:tcPr>
          <w:p w14:paraId="3D7A140B" w14:textId="77777777" w:rsidR="001F40F4" w:rsidRPr="00683511" w:rsidRDefault="001F40F4" w:rsidP="0093676C">
            <w:pPr>
              <w:rPr>
                <w:b/>
                <w:bCs/>
                <w:sz w:val="16"/>
                <w:szCs w:val="16"/>
              </w:rPr>
            </w:pPr>
            <w:r w:rsidRPr="00683511">
              <w:rPr>
                <w:b/>
                <w:bCs/>
                <w:sz w:val="16"/>
                <w:szCs w:val="16"/>
              </w:rPr>
              <w:t>Date loaded</w:t>
            </w:r>
          </w:p>
        </w:tc>
      </w:tr>
      <w:tr w:rsidR="001F40F4" w14:paraId="736C7268" w14:textId="77777777" w:rsidTr="00683511">
        <w:trPr>
          <w:trHeight w:val="710"/>
          <w:jc w:val="center"/>
        </w:trPr>
        <w:tc>
          <w:tcPr>
            <w:tcW w:w="991" w:type="dxa"/>
          </w:tcPr>
          <w:p w14:paraId="499DA5BF" w14:textId="77777777" w:rsidR="001F40F4" w:rsidRPr="006D629A" w:rsidRDefault="001F40F4" w:rsidP="0093676C"/>
        </w:tc>
        <w:tc>
          <w:tcPr>
            <w:tcW w:w="1182" w:type="dxa"/>
          </w:tcPr>
          <w:p w14:paraId="3FEC5BB1" w14:textId="77777777" w:rsidR="001F40F4" w:rsidRPr="006D629A" w:rsidRDefault="001F40F4" w:rsidP="0093676C"/>
        </w:tc>
        <w:tc>
          <w:tcPr>
            <w:tcW w:w="941" w:type="dxa"/>
          </w:tcPr>
          <w:p w14:paraId="62CA879F" w14:textId="77777777" w:rsidR="001F40F4" w:rsidRPr="006D629A" w:rsidRDefault="001F40F4" w:rsidP="0093676C"/>
        </w:tc>
        <w:tc>
          <w:tcPr>
            <w:tcW w:w="1076" w:type="dxa"/>
          </w:tcPr>
          <w:p w14:paraId="0EC1D766" w14:textId="77777777" w:rsidR="001F40F4" w:rsidRPr="006D629A" w:rsidRDefault="001F40F4" w:rsidP="0093676C"/>
        </w:tc>
        <w:tc>
          <w:tcPr>
            <w:tcW w:w="1102" w:type="dxa"/>
          </w:tcPr>
          <w:p w14:paraId="3D712877" w14:textId="77777777" w:rsidR="001F40F4" w:rsidRPr="006D629A" w:rsidRDefault="001F40F4" w:rsidP="0093676C"/>
        </w:tc>
        <w:tc>
          <w:tcPr>
            <w:tcW w:w="1207" w:type="dxa"/>
          </w:tcPr>
          <w:p w14:paraId="392A30DA" w14:textId="77777777" w:rsidR="001F40F4" w:rsidRPr="006D629A" w:rsidRDefault="001F40F4" w:rsidP="0093676C"/>
        </w:tc>
        <w:tc>
          <w:tcPr>
            <w:tcW w:w="690" w:type="dxa"/>
          </w:tcPr>
          <w:p w14:paraId="15AF1EDD" w14:textId="77777777" w:rsidR="001F40F4" w:rsidRPr="006D629A" w:rsidRDefault="001F40F4" w:rsidP="0093676C"/>
        </w:tc>
        <w:tc>
          <w:tcPr>
            <w:tcW w:w="690" w:type="dxa"/>
          </w:tcPr>
          <w:p w14:paraId="384EA15B" w14:textId="77777777" w:rsidR="001F40F4" w:rsidRPr="006D629A" w:rsidRDefault="001F40F4" w:rsidP="0093676C"/>
        </w:tc>
        <w:tc>
          <w:tcPr>
            <w:tcW w:w="758" w:type="dxa"/>
          </w:tcPr>
          <w:p w14:paraId="22A0E9F2" w14:textId="35166C89" w:rsidR="001F40F4" w:rsidRPr="006D629A" w:rsidRDefault="001F40F4" w:rsidP="0093676C"/>
        </w:tc>
        <w:tc>
          <w:tcPr>
            <w:tcW w:w="713" w:type="dxa"/>
          </w:tcPr>
          <w:p w14:paraId="123BBF16" w14:textId="77777777" w:rsidR="001F40F4" w:rsidRPr="006D629A" w:rsidRDefault="001F40F4" w:rsidP="0093676C"/>
        </w:tc>
      </w:tr>
    </w:tbl>
    <w:p w14:paraId="0063425A" w14:textId="5CE4A1FC" w:rsidR="006D629A" w:rsidRDefault="006D629A" w:rsidP="006D629A"/>
    <w:sectPr w:rsidR="006D629A" w:rsidSect="00101C7E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2CD3" w14:textId="77777777" w:rsidR="00364595" w:rsidRDefault="00364595" w:rsidP="006E0B00">
      <w:r>
        <w:separator/>
      </w:r>
    </w:p>
  </w:endnote>
  <w:endnote w:type="continuationSeparator" w:id="0">
    <w:p w14:paraId="33D815B1" w14:textId="77777777" w:rsidR="00364595" w:rsidRDefault="00364595" w:rsidP="006E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aco">
    <w:altName w:val="Courier New"/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02781366"/>
      <w:docPartObj>
        <w:docPartGallery w:val="Page Numbers (Bottom of Page)"/>
        <w:docPartUnique/>
      </w:docPartObj>
    </w:sdtPr>
    <w:sdtContent>
      <w:p w14:paraId="5C8AB2B1" w14:textId="2DB62FD4" w:rsidR="00AC4BE0" w:rsidRDefault="00AC4BE0" w:rsidP="0039729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65730B" w14:textId="77777777" w:rsidR="00AC4BE0" w:rsidRDefault="00AC4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B506" w14:textId="2176CA05" w:rsidR="001F40F4" w:rsidRPr="00683511" w:rsidRDefault="001F40F4">
    <w:pPr>
      <w:pStyle w:val="Footer"/>
      <w:rPr>
        <w:sz w:val="20"/>
        <w:szCs w:val="20"/>
      </w:rPr>
    </w:pPr>
    <w:r w:rsidRPr="00683511">
      <w:rPr>
        <w:sz w:val="20"/>
        <w:szCs w:val="20"/>
      </w:rPr>
      <w:t>v1.0</w:t>
    </w:r>
    <w:r w:rsidRPr="00683511">
      <w:rPr>
        <w:sz w:val="20"/>
        <w:szCs w:val="20"/>
      </w:rPr>
      <w:tab/>
    </w:r>
    <w:r w:rsidR="00AC4BE0" w:rsidRPr="00AC4BE0">
      <w:rPr>
        <w:rFonts w:ascii="Garamond" w:hAnsi="Garamond"/>
        <w:sz w:val="20"/>
        <w:szCs w:val="20"/>
        <w:rPrChange w:id="0" w:author="Robert J. Livingston" w:date="2022-03-23T11:16:00Z">
          <w:rPr>
            <w:rFonts w:ascii="Garamond" w:hAnsi="Garamond"/>
          </w:rPr>
        </w:rPrChange>
      </w:rPr>
      <w:t xml:space="preserve">Page </w:t>
    </w:r>
    <w:r w:rsidR="00AC4BE0" w:rsidRPr="00AC4BE0">
      <w:rPr>
        <w:rFonts w:ascii="Garamond" w:hAnsi="Garamond"/>
        <w:sz w:val="20"/>
        <w:szCs w:val="20"/>
        <w:rPrChange w:id="1" w:author="Robert J. Livingston" w:date="2022-03-23T11:16:00Z">
          <w:rPr>
            <w:rFonts w:ascii="Garamond" w:hAnsi="Garamond"/>
          </w:rPr>
        </w:rPrChange>
      </w:rPr>
      <w:fldChar w:fldCharType="begin"/>
    </w:r>
    <w:r w:rsidR="00AC4BE0" w:rsidRPr="00AC4BE0">
      <w:rPr>
        <w:rFonts w:ascii="Garamond" w:hAnsi="Garamond"/>
        <w:sz w:val="20"/>
        <w:szCs w:val="20"/>
        <w:rPrChange w:id="2" w:author="Robert J. Livingston" w:date="2022-03-23T11:16:00Z">
          <w:rPr>
            <w:rFonts w:ascii="Garamond" w:hAnsi="Garamond"/>
          </w:rPr>
        </w:rPrChange>
      </w:rPr>
      <w:instrText xml:space="preserve"> PAGE </w:instrText>
    </w:r>
    <w:r w:rsidR="00AC4BE0" w:rsidRPr="00AC4BE0">
      <w:rPr>
        <w:rFonts w:ascii="Garamond" w:hAnsi="Garamond"/>
        <w:sz w:val="20"/>
        <w:szCs w:val="20"/>
        <w:rPrChange w:id="3" w:author="Robert J. Livingston" w:date="2022-03-23T11:16:00Z">
          <w:rPr>
            <w:rFonts w:ascii="Garamond" w:hAnsi="Garamond"/>
          </w:rPr>
        </w:rPrChange>
      </w:rPr>
      <w:fldChar w:fldCharType="separate"/>
    </w:r>
    <w:r w:rsidR="00AC4BE0" w:rsidRPr="00AC4BE0">
      <w:rPr>
        <w:rFonts w:ascii="Garamond" w:hAnsi="Garamond"/>
        <w:sz w:val="20"/>
        <w:szCs w:val="20"/>
        <w:rPrChange w:id="4" w:author="Robert J. Livingston" w:date="2022-03-23T11:16:00Z">
          <w:rPr>
            <w:rFonts w:ascii="Garamond" w:hAnsi="Garamond"/>
          </w:rPr>
        </w:rPrChange>
      </w:rPr>
      <w:t>3</w:t>
    </w:r>
    <w:r w:rsidR="00AC4BE0" w:rsidRPr="00AC4BE0">
      <w:rPr>
        <w:rFonts w:ascii="Garamond" w:hAnsi="Garamond"/>
        <w:sz w:val="20"/>
        <w:szCs w:val="20"/>
        <w:rPrChange w:id="5" w:author="Robert J. Livingston" w:date="2022-03-23T11:16:00Z">
          <w:rPr>
            <w:rFonts w:ascii="Garamond" w:hAnsi="Garamond"/>
          </w:rPr>
        </w:rPrChange>
      </w:rPr>
      <w:fldChar w:fldCharType="end"/>
    </w:r>
    <w:r w:rsidR="00AC4BE0" w:rsidRPr="00AC4BE0">
      <w:rPr>
        <w:rFonts w:ascii="Garamond" w:hAnsi="Garamond"/>
        <w:sz w:val="20"/>
        <w:szCs w:val="20"/>
        <w:rPrChange w:id="6" w:author="Robert J. Livingston" w:date="2022-03-23T11:16:00Z">
          <w:rPr>
            <w:rFonts w:ascii="Garamond" w:hAnsi="Garamond"/>
          </w:rPr>
        </w:rPrChange>
      </w:rPr>
      <w:t xml:space="preserve"> of </w:t>
    </w:r>
    <w:r w:rsidR="00AC4BE0" w:rsidRPr="00AC4BE0">
      <w:rPr>
        <w:rFonts w:ascii="Garamond" w:hAnsi="Garamond"/>
        <w:sz w:val="20"/>
        <w:szCs w:val="20"/>
        <w:rPrChange w:id="7" w:author="Robert J. Livingston" w:date="2022-03-23T11:16:00Z">
          <w:rPr>
            <w:rFonts w:ascii="Garamond" w:hAnsi="Garamond"/>
          </w:rPr>
        </w:rPrChange>
      </w:rPr>
      <w:fldChar w:fldCharType="begin"/>
    </w:r>
    <w:r w:rsidR="00AC4BE0" w:rsidRPr="00AC4BE0">
      <w:rPr>
        <w:rFonts w:ascii="Garamond" w:hAnsi="Garamond"/>
        <w:sz w:val="20"/>
        <w:szCs w:val="20"/>
        <w:rPrChange w:id="8" w:author="Robert J. Livingston" w:date="2022-03-23T11:16:00Z">
          <w:rPr>
            <w:rFonts w:ascii="Garamond" w:hAnsi="Garamond"/>
          </w:rPr>
        </w:rPrChange>
      </w:rPr>
      <w:instrText xml:space="preserve"> NUMPAGES  </w:instrText>
    </w:r>
    <w:r w:rsidR="00AC4BE0" w:rsidRPr="00AC4BE0">
      <w:rPr>
        <w:rFonts w:ascii="Garamond" w:hAnsi="Garamond"/>
        <w:sz w:val="20"/>
        <w:szCs w:val="20"/>
        <w:rPrChange w:id="9" w:author="Robert J. Livingston" w:date="2022-03-23T11:16:00Z">
          <w:rPr>
            <w:rFonts w:ascii="Garamond" w:hAnsi="Garamond"/>
          </w:rPr>
        </w:rPrChange>
      </w:rPr>
      <w:fldChar w:fldCharType="separate"/>
    </w:r>
    <w:r w:rsidR="00AC4BE0" w:rsidRPr="00AC4BE0">
      <w:rPr>
        <w:rFonts w:ascii="Garamond" w:hAnsi="Garamond"/>
        <w:sz w:val="20"/>
        <w:szCs w:val="20"/>
        <w:rPrChange w:id="10" w:author="Robert J. Livingston" w:date="2022-03-23T11:16:00Z">
          <w:rPr>
            <w:rFonts w:ascii="Garamond" w:hAnsi="Garamond"/>
          </w:rPr>
        </w:rPrChange>
      </w:rPr>
      <w:t>12</w:t>
    </w:r>
    <w:r w:rsidR="00AC4BE0" w:rsidRPr="00AC4BE0">
      <w:rPr>
        <w:rFonts w:ascii="Garamond" w:hAnsi="Garamond"/>
        <w:sz w:val="20"/>
        <w:szCs w:val="20"/>
        <w:rPrChange w:id="11" w:author="Robert J. Livingston" w:date="2022-03-23T11:16:00Z">
          <w:rPr>
            <w:rFonts w:ascii="Garamond" w:hAnsi="Garamond"/>
          </w:rPr>
        </w:rPrChange>
      </w:rPr>
      <w:fldChar w:fldCharType="end"/>
    </w:r>
    <w:r w:rsidRPr="00683511">
      <w:rPr>
        <w:sz w:val="20"/>
        <w:szCs w:val="20"/>
      </w:rPr>
      <w:tab/>
      <w:t>Mar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C2FA" w14:textId="77777777" w:rsidR="00364595" w:rsidRDefault="00364595" w:rsidP="006E0B00">
      <w:r>
        <w:separator/>
      </w:r>
    </w:p>
  </w:footnote>
  <w:footnote w:type="continuationSeparator" w:id="0">
    <w:p w14:paraId="117A7DFE" w14:textId="77777777" w:rsidR="00364595" w:rsidRDefault="00364595" w:rsidP="006E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E2D6" w14:textId="39DEB27C" w:rsidR="006E0B00" w:rsidRDefault="006E0B00" w:rsidP="006E0B00">
    <w:pPr>
      <w:pStyle w:val="Header"/>
      <w:jc w:val="right"/>
    </w:pPr>
    <w:r w:rsidRPr="00786CC6">
      <w:rPr>
        <w:rFonts w:ascii="Monaco" w:hAnsi="Monaco"/>
        <w:noProof/>
        <w:sz w:val="20"/>
        <w:szCs w:val="20"/>
      </w:rPr>
      <w:drawing>
        <wp:inline distT="0" distB="0" distL="0" distR="0" wp14:anchorId="2F721DAF" wp14:editId="47E985DC">
          <wp:extent cx="1381125" cy="676275"/>
          <wp:effectExtent l="0" t="0" r="9525" b="9525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J. Livingston">
    <w15:presenceInfo w15:providerId="AD" w15:userId="S::bobl@uw.edu::9193ade6-47e2-4ecc-bdf1-868371e6a3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00"/>
    <w:rsid w:val="0002030C"/>
    <w:rsid w:val="00093D44"/>
    <w:rsid w:val="000E7ABA"/>
    <w:rsid w:val="00101C7E"/>
    <w:rsid w:val="0014258A"/>
    <w:rsid w:val="001F40F4"/>
    <w:rsid w:val="0026419A"/>
    <w:rsid w:val="00270265"/>
    <w:rsid w:val="002B6B70"/>
    <w:rsid w:val="00304823"/>
    <w:rsid w:val="00364595"/>
    <w:rsid w:val="003C5AF1"/>
    <w:rsid w:val="003F6584"/>
    <w:rsid w:val="00407F20"/>
    <w:rsid w:val="004C245D"/>
    <w:rsid w:val="004D5D81"/>
    <w:rsid w:val="00502C55"/>
    <w:rsid w:val="00521B3A"/>
    <w:rsid w:val="005550EF"/>
    <w:rsid w:val="00596E73"/>
    <w:rsid w:val="005A195E"/>
    <w:rsid w:val="00683511"/>
    <w:rsid w:val="006901CB"/>
    <w:rsid w:val="006D629A"/>
    <w:rsid w:val="006E0B00"/>
    <w:rsid w:val="0070189F"/>
    <w:rsid w:val="00706DC6"/>
    <w:rsid w:val="00775AEB"/>
    <w:rsid w:val="00785E25"/>
    <w:rsid w:val="00870664"/>
    <w:rsid w:val="008737D2"/>
    <w:rsid w:val="00893108"/>
    <w:rsid w:val="008A576E"/>
    <w:rsid w:val="008E7022"/>
    <w:rsid w:val="00994DEE"/>
    <w:rsid w:val="009F3604"/>
    <w:rsid w:val="00A03633"/>
    <w:rsid w:val="00AA3DF4"/>
    <w:rsid w:val="00AA7B79"/>
    <w:rsid w:val="00AC4BE0"/>
    <w:rsid w:val="00BC0895"/>
    <w:rsid w:val="00C14684"/>
    <w:rsid w:val="00C7186D"/>
    <w:rsid w:val="00C8565C"/>
    <w:rsid w:val="00CB5931"/>
    <w:rsid w:val="00CC4C55"/>
    <w:rsid w:val="00D36C15"/>
    <w:rsid w:val="00DE7026"/>
    <w:rsid w:val="00E60769"/>
    <w:rsid w:val="00EE2F3C"/>
    <w:rsid w:val="00F53577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9FFA5"/>
  <w15:chartTrackingRefBased/>
  <w15:docId w15:val="{E8D720E9-7AA4-424A-9B89-CE2E732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B00"/>
  </w:style>
  <w:style w:type="paragraph" w:styleId="Footer">
    <w:name w:val="footer"/>
    <w:basedOn w:val="Normal"/>
    <w:link w:val="FooterChar"/>
    <w:uiPriority w:val="99"/>
    <w:unhideWhenUsed/>
    <w:rsid w:val="006E0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B00"/>
  </w:style>
  <w:style w:type="table" w:styleId="TableGrid">
    <w:name w:val="Table Grid"/>
    <w:basedOn w:val="TableNormal"/>
    <w:uiPriority w:val="39"/>
    <w:rsid w:val="0027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7026"/>
  </w:style>
  <w:style w:type="character" w:styleId="PlaceholderText">
    <w:name w:val="Placeholder Text"/>
    <w:basedOn w:val="DefaultParagraphFont"/>
    <w:uiPriority w:val="99"/>
    <w:semiHidden/>
    <w:rsid w:val="00EE2F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6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B7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C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rk@uw.edu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scottrk@uw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rk@uw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C602-1A54-4686-ACC5-3201AF79054D}"/>
      </w:docPartPr>
      <w:docPartBody>
        <w:p w:rsidR="00214F3D" w:rsidRDefault="009438B1">
          <w:r w:rsidRPr="00C42C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aco">
    <w:altName w:val="Courier New"/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1"/>
    <w:rsid w:val="00214F3D"/>
    <w:rsid w:val="0084749B"/>
    <w:rsid w:val="009438B1"/>
    <w:rsid w:val="009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8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J. Livingston</dc:creator>
  <cp:keywords/>
  <dc:description/>
  <cp:lastModifiedBy>Robert J. Livingston</cp:lastModifiedBy>
  <cp:revision>3</cp:revision>
  <cp:lastPrinted>2022-03-03T00:22:00Z</cp:lastPrinted>
  <dcterms:created xsi:type="dcterms:W3CDTF">2022-03-23T18:05:00Z</dcterms:created>
  <dcterms:modified xsi:type="dcterms:W3CDTF">2022-03-23T18:21:00Z</dcterms:modified>
</cp:coreProperties>
</file>